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spacing w:val="-10"/>
          <w:kern w:val="28"/>
          <w:sz w:val="40"/>
        </w:rPr>
        <w:t xml:space="preserve">Kleemann │ Primera aplicación para la MOBISCREEN MSS 802i EVO en Alemania </w:t>
      </w:r>
    </w:p>
    <w:p w14:paraId="618A26EB" w14:textId="785FA088" w:rsidR="003F3D95" w:rsidRDefault="00A85498" w:rsidP="00FF05BC">
      <w:pPr>
        <w:pStyle w:val="Absatzberschrift"/>
        <w:jc w:val="both"/>
      </w:pPr>
      <w:r>
        <w:t>Desde 2021 la nueva instalación de cribado de piezas voluminosas de Kleemann en Neumünster prepara muchos materiales diferentes. Es precisa una gran flexibilidad. Mientras que en la gravera se tratan arena y material de grano fino, en el reciclaje se requiere la criba de escombros y balastro ferroviario. De hecho, la instalación incluso se utiliza para el procesamiento de tierras vegetales, que, con frecuencia, son especialmente adhesivas.</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t xml:space="preserve">Instalación todoterreno para un amplio espectro de uso </w:t>
      </w:r>
    </w:p>
    <w:p w14:paraId="541C73EB" w14:textId="5BBBFDDF" w:rsidR="00A85498" w:rsidRPr="00CC58D8" w:rsidRDefault="003F3D95" w:rsidP="00FF05BC">
      <w:pPr>
        <w:pStyle w:val="Absatzberschrift"/>
        <w:jc w:val="both"/>
        <w:rPr>
          <w:b w:val="0"/>
          <w:bCs/>
        </w:rPr>
      </w:pPr>
      <w:r>
        <w:rPr>
          <w:b w:val="0"/>
        </w:rPr>
        <w:t>La MOBISCREEN MSS</w:t>
      </w:r>
      <w:r>
        <w:t> </w:t>
      </w:r>
      <w:r>
        <w:rPr>
          <w:b w:val="0"/>
        </w:rPr>
        <w:t xml:space="preserve"> 802i EVO puede con material rocoso de muy fino a muy grueso y también con todos los tipos de grados de suciedad, por lo que es apta para todos los retos que se presenten. </w:t>
      </w:r>
    </w:p>
    <w:p w14:paraId="057E9D3D" w14:textId="758477F5" w:rsidR="0074494B" w:rsidRDefault="0074494B" w:rsidP="00C72BD1">
      <w:pPr>
        <w:pStyle w:val="Standardabsatz"/>
        <w:rPr>
          <w:b/>
        </w:rPr>
      </w:pPr>
      <w:r>
        <w:t xml:space="preserve">Por ejemplo, la extracción de grava: «Aquí tenemos mucha arena y una proporción relativamente pequeña de piedras. Es decir, la cinta lateral para grano fino tiene que trabajar duro. Otras instalaciones de cribado llegan a sus límites durante esta tarea. Para la nueva, ¡esto no es un problema!», destaca André Krebs, propietario de Ernst Krebs GmbH &amp; Co. KG, sobre la MSS  802i EVO. Una ventaja es también que las cajas de la criba alcanzan una inclinación más del 20 % superior a la de muchas otras instalaciones comparables. Esto genera un efecto de corte efectivo durante la separación de materiales finos como arena y un rendimiento superior. </w:t>
      </w:r>
    </w:p>
    <w:p w14:paraId="1A96060F" w14:textId="28277250" w:rsidR="00AF2A24" w:rsidRPr="00793E43" w:rsidRDefault="00E02CC0" w:rsidP="00AF2A24">
      <w:pPr>
        <w:pStyle w:val="Absatzberschrift"/>
      </w:pPr>
      <w:r>
        <w:t xml:space="preserve">Flexibilidad desde la carga hasta el cambio de criba </w:t>
      </w:r>
    </w:p>
    <w:p w14:paraId="02F45DE0" w14:textId="77777777" w:rsidR="0074494B" w:rsidRDefault="0074494B" w:rsidP="00AF2A24">
      <w:pPr>
        <w:pStyle w:val="Standardabsatz"/>
      </w:pPr>
      <w:r>
        <w:t xml:space="preserve">La gran tolva de alimentación también contribuye a la flexibilidad. La pared trasera de la tolva y los elementos auxiliares de llenado presentan una abatibilidad variable, por lo que la carga es posible desde diferentes alturas, desde ambos lados y por detrás. La sustitución de la superficie de la criba es comparativamente sencilla incluso en el piso inferior, porque la caja de la criba se coloca completamente en horizontal. Los parámetros de cribado se ajustan de manera precisa y también la modificación, por ejemplo de tres a dos granulometrías finales, es sencilla. </w:t>
      </w:r>
    </w:p>
    <w:p w14:paraId="438D9917" w14:textId="44C67DAB" w:rsidR="0074494B" w:rsidRDefault="0074494B" w:rsidP="00AF2A24">
      <w:pPr>
        <w:pStyle w:val="Absatzberschrift"/>
        <w:rPr>
          <w:b w:val="0"/>
        </w:rPr>
      </w:pPr>
      <w:r>
        <w:rPr>
          <w:b w:val="0"/>
        </w:rPr>
        <w:t xml:space="preserve">El transporte de un lugar de trabajo al otro se realiza también de manera rápida: las cintas de descarga se repliegan sin desmontar las piezas. El control continuo de desplazamiento permite, además, colocar la instalación de manera precisa en posición.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t>Enfoque en la seguridad de los trabajadores</w:t>
      </w:r>
    </w:p>
    <w:p w14:paraId="1C477E89" w14:textId="320619D1" w:rsidR="00AF2A24" w:rsidRDefault="00E02CC0" w:rsidP="00AF2A24">
      <w:pPr>
        <w:pStyle w:val="Standardabsatz"/>
      </w:pPr>
      <w:r>
        <w:t>La pantalla tiene un funcionamiento intuitivo y proporciona seguridad. Así, en la MSS  802i EVO de Kleemann es posible regular todas las funciones relevantes desde una distancia segura. Además, es posible cambiar la pantalla de lugar en la máquina. De esta forma el usuario está siempre cerca de la función que está realizando. De este modo, el manejo ciego de palancas con una colocación desplazada respecto al componente en movimiento ya forma parte del pasado. Así, el manejo durante el equipamiento y el mantenimiento también se simplifica.</w:t>
      </w:r>
    </w:p>
    <w:p w14:paraId="14D7AE95" w14:textId="24EAD6AB" w:rsidR="007433BC" w:rsidRPr="00CC58D8" w:rsidRDefault="002A6C77" w:rsidP="00CC58D8">
      <w:pPr>
        <w:pStyle w:val="Standardabsatz"/>
        <w:spacing w:after="0"/>
        <w:rPr>
          <w:b/>
          <w:bCs/>
        </w:rPr>
      </w:pPr>
      <w:r>
        <w:rPr>
          <w:b/>
        </w:rPr>
        <w:t xml:space="preserve">Los usuarios se benefician de soluciones prácticas </w:t>
      </w:r>
    </w:p>
    <w:p w14:paraId="0C596C6B" w14:textId="02EB3833" w:rsidR="0064789B" w:rsidRDefault="0064789B" w:rsidP="00CC58D8">
      <w:pPr>
        <w:pStyle w:val="Standardabsatz"/>
        <w:spacing w:after="0"/>
      </w:pPr>
      <w:r>
        <w:t xml:space="preserve">«Simplemente se nota que, durante el desarrollo de este equipo, se ha prestado una atención específica, haciendo el trabajo más efectivo en la práctica. De esta forma, la </w:t>
      </w:r>
      <w:r>
        <w:lastRenderedPageBreak/>
        <w:t xml:space="preserve">ejecución de tareas resulta más sencilla, los tiempos de preparación se reducen y el rendimiento es superior. Al fin y al cabo, esto cuenta», añade André Krebs. </w:t>
      </w:r>
    </w:p>
    <w:p w14:paraId="594FE49E" w14:textId="77777777" w:rsidR="006961D2" w:rsidRDefault="006961D2" w:rsidP="00BC487A">
      <w:pPr>
        <w:rPr>
          <w:b/>
          <w:sz w:val="22"/>
        </w:rPr>
      </w:pPr>
    </w:p>
    <w:p w14:paraId="1BDA54AB" w14:textId="77777777" w:rsidR="006961D2" w:rsidRDefault="006961D2" w:rsidP="00BC487A">
      <w:pPr>
        <w:rPr>
          <w:b/>
          <w:sz w:val="22"/>
        </w:rPr>
      </w:pPr>
    </w:p>
    <w:p w14:paraId="4A4FED19" w14:textId="6902649A" w:rsidR="00E02CC0" w:rsidRDefault="00272C09" w:rsidP="00BC487A">
      <w:pPr>
        <w:rPr>
          <w:b/>
          <w:bCs/>
          <w:sz w:val="22"/>
          <w:szCs w:val="22"/>
        </w:rPr>
      </w:pPr>
      <w:r>
        <w:rPr>
          <w:b/>
          <w:sz w:val="22"/>
        </w:rPr>
        <w:t xml:space="preserve">Datos y hechos para el uso </w:t>
      </w:r>
      <w:r>
        <w:rPr>
          <w:b/>
          <w:i/>
          <w:sz w:val="22"/>
        </w:rPr>
        <w:t>in situ</w:t>
      </w:r>
      <w:r>
        <w:rPr>
          <w:b/>
          <w:sz w:val="22"/>
        </w:rPr>
        <w:t>:</w:t>
      </w:r>
    </w:p>
    <w:p w14:paraId="6F1C6323" w14:textId="77777777" w:rsidR="002A6C77" w:rsidRDefault="002A6C77" w:rsidP="00BC487A">
      <w:pPr>
        <w:rPr>
          <w:b/>
          <w:bCs/>
          <w:sz w:val="22"/>
          <w:szCs w:val="22"/>
        </w:rPr>
      </w:pPr>
    </w:p>
    <w:p w14:paraId="34033CB0" w14:textId="77777777" w:rsidR="002A6C77" w:rsidRPr="00CC58D8" w:rsidRDefault="00E02CC0" w:rsidP="00BC487A">
      <w:pPr>
        <w:rPr>
          <w:b/>
          <w:sz w:val="22"/>
          <w:szCs w:val="22"/>
        </w:rPr>
      </w:pPr>
      <w:r>
        <w:rPr>
          <w:b/>
          <w:sz w:val="22"/>
        </w:rPr>
        <w:t>Datos de carga</w:t>
      </w:r>
    </w:p>
    <w:p w14:paraId="00B4FD0C" w14:textId="1B01E051" w:rsidR="00E02CC0" w:rsidRDefault="002A6C77" w:rsidP="00BC487A">
      <w:pPr>
        <w:rPr>
          <w:bCs/>
          <w:sz w:val="22"/>
          <w:szCs w:val="22"/>
        </w:rPr>
      </w:pPr>
      <w:r>
        <w:rPr>
          <w:sz w:val="22"/>
        </w:rPr>
        <w:t>Material: arena, grava, escombros, balastro ferroviario</w:t>
      </w:r>
    </w:p>
    <w:p w14:paraId="4F3097DD" w14:textId="32074810" w:rsidR="00E02CC0" w:rsidRDefault="002A6C77" w:rsidP="00BC487A">
      <w:pPr>
        <w:rPr>
          <w:bCs/>
          <w:sz w:val="22"/>
          <w:szCs w:val="22"/>
        </w:rPr>
      </w:pPr>
      <w:r>
        <w:rPr>
          <w:sz w:val="22"/>
        </w:rPr>
        <w:t>Tamaño: 0-500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Pr>
          <w:b/>
          <w:sz w:val="22"/>
        </w:rPr>
        <w:t>Productos finales</w:t>
      </w:r>
    </w:p>
    <w:p w14:paraId="3319578B" w14:textId="73334BE3" w:rsidR="00E02CC0" w:rsidRDefault="00E02CC0" w:rsidP="00BC487A">
      <w:pPr>
        <w:rPr>
          <w:bCs/>
          <w:sz w:val="22"/>
          <w:szCs w:val="22"/>
        </w:rPr>
      </w:pPr>
      <w:r>
        <w:rPr>
          <w:sz w:val="22"/>
        </w:rPr>
        <w:t>Arena: 0-2 mm, 2-32 mm, 0-5 mm, 5-32 mm</w:t>
      </w:r>
    </w:p>
    <w:p w14:paraId="11F33176" w14:textId="7FC213D5" w:rsidR="00E02CC0" w:rsidRDefault="00E02CC0" w:rsidP="00BC487A">
      <w:pPr>
        <w:rPr>
          <w:bCs/>
          <w:sz w:val="22"/>
          <w:szCs w:val="22"/>
        </w:rPr>
      </w:pPr>
      <w:r>
        <w:rPr>
          <w:sz w:val="22"/>
        </w:rPr>
        <w:t>balastro ferroviario: 0-10 mm, 10-45 mm</w:t>
      </w:r>
    </w:p>
    <w:p w14:paraId="537FD115" w14:textId="435B9BD2" w:rsidR="00E02CC0" w:rsidRDefault="00E02CC0" w:rsidP="00BC487A">
      <w:pPr>
        <w:rPr>
          <w:bCs/>
          <w:sz w:val="22"/>
          <w:szCs w:val="22"/>
        </w:rPr>
      </w:pPr>
      <w:r>
        <w:rPr>
          <w:sz w:val="22"/>
        </w:rPr>
        <w:t>Escombros: 0-32 mm, 0-45 mm</w:t>
      </w:r>
    </w:p>
    <w:p w14:paraId="2C75B01E" w14:textId="77777777" w:rsidR="00E02CC0" w:rsidRPr="00E02CC0" w:rsidRDefault="00E02CC0" w:rsidP="00BC487A">
      <w:pPr>
        <w:rPr>
          <w:bCs/>
          <w:sz w:val="22"/>
          <w:szCs w:val="22"/>
        </w:rPr>
      </w:pP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b/>
          <w:sz w:val="22"/>
        </w:rPr>
        <w:t>Fotos:</w:t>
      </w:r>
    </w:p>
    <w:p w14:paraId="06345839" w14:textId="58D89C7D" w:rsidR="00BC487A" w:rsidRPr="00AF2A24" w:rsidRDefault="003B16D2" w:rsidP="00BC487A">
      <w:pPr>
        <w:rPr>
          <w:rFonts w:eastAsiaTheme="minorHAnsi" w:cstheme="minorBidi"/>
          <w:b/>
          <w:sz w:val="22"/>
          <w:szCs w:val="24"/>
        </w:rPr>
      </w:pPr>
      <w:r>
        <w:rPr>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t>KL_MSS 802i EVO_Krebs</w:t>
      </w:r>
    </w:p>
    <w:p w14:paraId="0AA6E1D3" w14:textId="1C1B81AE" w:rsidR="00F724D5" w:rsidRDefault="00CC2302" w:rsidP="00CC2302">
      <w:pPr>
        <w:pStyle w:val="Fotos"/>
        <w:spacing w:after="0"/>
        <w:rPr>
          <w:b w:val="0"/>
          <w:sz w:val="20"/>
        </w:rPr>
      </w:pPr>
      <w:r>
        <w:rPr>
          <w:b w:val="0"/>
          <w:sz w:val="20"/>
        </w:rPr>
        <w:t>Con el sofisticado diseño de la instalación de cribado de piezas voluminosas móvil MOBISCREEN MSS</w:t>
      </w:r>
      <w:r>
        <w:t> </w:t>
      </w:r>
      <w:r>
        <w:rPr>
          <w:b w:val="0"/>
          <w:sz w:val="20"/>
        </w:rPr>
        <w:t xml:space="preserve"> 802i EVO se puede garantizar un mejor flujo de material en aplicaciones de piedra natural y en el ámbito del reciclaje.</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noProof/>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t>KL_MSS 802i EVO_Krebs_1</w:t>
      </w:r>
    </w:p>
    <w:p w14:paraId="43BC7053" w14:textId="72AAE454" w:rsidR="00980313" w:rsidRDefault="00FF05BC" w:rsidP="00F724D5">
      <w:pPr>
        <w:widowControl w:val="0"/>
        <w:rPr>
          <w:sz w:val="20"/>
          <w:szCs w:val="20"/>
        </w:rPr>
      </w:pPr>
      <w:r>
        <w:rPr>
          <w:sz w:val="20"/>
        </w:rPr>
        <w:t>La MSS</w:t>
      </w:r>
      <w:r>
        <w:t xml:space="preserve">  </w:t>
      </w:r>
      <w:r>
        <w:rPr>
          <w:sz w:val="20"/>
        </w:rPr>
        <w:t>802(i) EVO ha sido diseñada para responder a los desafíos cambiantes en diferentes áreas de aplicación.</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t>Nota: estas fotos sirven únicamente para la vista previa. Para la impresión en publicaciones, se deben emplear las fotos en una resolución de 300 dpi, que se encuentran disponibles en la descarga adjunta.</w:t>
      </w:r>
    </w:p>
    <w:p w14:paraId="717825D0" w14:textId="0FB59334" w:rsidR="00B409DF" w:rsidRDefault="00B409DF" w:rsidP="00B409DF">
      <w:pPr>
        <w:pStyle w:val="Absatzberschrift"/>
        <w:rPr>
          <w:iCs/>
        </w:rPr>
      </w:pPr>
      <w:r>
        <w:t>Para más información, contacte con: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GRUPO WIRTGEN</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Alemania</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t xml:space="preserve">Teléfono: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Correo electrónico: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16E7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7E916"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00E46BCC"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sidR="008F2C05">
                            <w:rPr>
                              <w:rFonts w:ascii="Avenir Next LT Pro" w:hAnsi="Avenir Next LT Pro"/>
                              <w:sz w:val="36"/>
                            </w:rPr>
                            <w:t xml:space="preserve"> </w:t>
                          </w:r>
                          <w:r>
                            <w:rPr>
                              <w:rFonts w:ascii="Avenir Next" w:hAnsi="Avenir Next"/>
                              <w:color w:val="40535C"/>
                              <w:sz w:val="36"/>
                            </w:rPr>
                            <w:t>INFORME DE TRABAJO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00E46BCC"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sidR="008F2C05">
                      <w:rPr>
                        <w:rFonts w:ascii="Avenir Next LT Pro" w:hAnsi="Avenir Next LT Pro"/>
                        <w:sz w:val="36"/>
                      </w:rPr>
                      <w:t xml:space="preserve"> </w:t>
                    </w:r>
                    <w:r>
                      <w:rPr>
                        <w:rFonts w:ascii="Avenir Next" w:hAnsi="Avenir Next"/>
                        <w:color w:val="40535C"/>
                        <w:sz w:val="36"/>
                      </w:rPr>
                      <w:t>INFORME DE TRABAJO</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475A1"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961D2"/>
    <w:rsid w:val="006B3EEC"/>
    <w:rsid w:val="006C0C87"/>
    <w:rsid w:val="006D7EAC"/>
    <w:rsid w:val="006E0104"/>
    <w:rsid w:val="006F7602"/>
    <w:rsid w:val="00705ACE"/>
    <w:rsid w:val="007100BC"/>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8F2C05"/>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602</Words>
  <Characters>3797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4391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4</cp:revision>
  <cp:lastPrinted>2021-10-20T14:00:00Z</cp:lastPrinted>
  <dcterms:created xsi:type="dcterms:W3CDTF">2022-07-27T13:43:00Z</dcterms:created>
  <dcterms:modified xsi:type="dcterms:W3CDTF">2022-09-28T06:34:00Z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